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D7" w:rsidRDefault="001555D7" w:rsidP="001555D7">
      <w:pPr>
        <w:jc w:val="center"/>
        <w:rPr>
          <w:rFonts w:ascii="Arial" w:hAnsi="Arial" w:cs="Arial"/>
          <w:b/>
          <w:lang w:val="en-US"/>
        </w:rPr>
      </w:pPr>
    </w:p>
    <w:p w:rsidR="001555D7" w:rsidRDefault="001555D7" w:rsidP="001555D7">
      <w:pPr>
        <w:jc w:val="center"/>
        <w:rPr>
          <w:rFonts w:ascii="MAC C Swiss" w:hAnsi="MAC C Swiss"/>
          <w:b/>
          <w:lang w:val="en-US"/>
        </w:rPr>
      </w:pPr>
      <w:r>
        <w:rPr>
          <w:rFonts w:ascii="Arial" w:hAnsi="Arial" w:cs="Arial"/>
          <w:b/>
          <w:lang w:val="en-US"/>
        </w:rPr>
        <w:t>О</w:t>
      </w:r>
      <w:r>
        <w:rPr>
          <w:rFonts w:ascii="MAC C Swiss" w:hAnsi="MAC C Swiss"/>
          <w:b/>
          <w:lang w:val="en-US"/>
        </w:rPr>
        <w:t xml:space="preserve"> </w:t>
      </w:r>
      <w:r>
        <w:rPr>
          <w:rFonts w:ascii="Arial" w:hAnsi="Arial" w:cs="Arial"/>
          <w:b/>
          <w:lang w:val="en-US"/>
        </w:rPr>
        <w:t>Д</w:t>
      </w:r>
      <w:r>
        <w:rPr>
          <w:rFonts w:ascii="MAC C Swiss" w:hAnsi="MAC C Swiss"/>
          <w:b/>
          <w:lang w:val="en-US"/>
        </w:rPr>
        <w:t xml:space="preserve"> </w:t>
      </w:r>
      <w:r>
        <w:rPr>
          <w:rFonts w:ascii="Arial" w:hAnsi="Arial" w:cs="Arial"/>
          <w:b/>
          <w:lang w:val="en-US"/>
        </w:rPr>
        <w:t>Г</w:t>
      </w:r>
      <w:r>
        <w:rPr>
          <w:rFonts w:ascii="MAC C Swiss" w:hAnsi="MAC C Swiss"/>
          <w:b/>
          <w:lang w:val="en-US"/>
        </w:rPr>
        <w:t xml:space="preserve"> </w:t>
      </w:r>
      <w:r>
        <w:rPr>
          <w:rFonts w:ascii="Arial" w:hAnsi="Arial" w:cs="Arial"/>
          <w:b/>
          <w:lang w:val="en-US"/>
        </w:rPr>
        <w:t>О</w:t>
      </w:r>
      <w:r>
        <w:rPr>
          <w:rFonts w:ascii="MAC C Swiss" w:hAnsi="MAC C Swiss"/>
          <w:b/>
          <w:lang w:val="en-US"/>
        </w:rPr>
        <w:t xml:space="preserve"> </w:t>
      </w:r>
      <w:r>
        <w:rPr>
          <w:rFonts w:ascii="Arial" w:hAnsi="Arial" w:cs="Arial"/>
          <w:b/>
          <w:lang w:val="en-US"/>
        </w:rPr>
        <w:t>В</w:t>
      </w:r>
      <w:r>
        <w:rPr>
          <w:rFonts w:ascii="MAC C Swiss" w:hAnsi="MAC C Swiss"/>
          <w:b/>
          <w:lang w:val="en-US"/>
        </w:rPr>
        <w:t xml:space="preserve"> </w:t>
      </w:r>
      <w:r>
        <w:rPr>
          <w:rFonts w:ascii="Arial" w:hAnsi="Arial" w:cs="Arial"/>
          <w:b/>
          <w:lang w:val="en-US"/>
        </w:rPr>
        <w:t>О</w:t>
      </w:r>
      <w:r>
        <w:rPr>
          <w:rFonts w:ascii="MAC C Swiss" w:hAnsi="MAC C Swiss"/>
          <w:b/>
          <w:lang w:val="en-US"/>
        </w:rPr>
        <w:t xml:space="preserve"> </w:t>
      </w:r>
      <w:r>
        <w:rPr>
          <w:rFonts w:ascii="Arial" w:hAnsi="Arial" w:cs="Arial"/>
          <w:b/>
          <w:lang w:val="en-US"/>
        </w:rPr>
        <w:t>Р</w:t>
      </w:r>
    </w:p>
    <w:p w:rsidR="001555D7" w:rsidRDefault="001555D7" w:rsidP="001555D7">
      <w:pPr>
        <w:spacing w:after="0" w:line="240" w:lineRule="auto"/>
        <w:jc w:val="center"/>
        <w:rPr>
          <w:rFonts w:ascii="MAC C Swiss" w:hAnsi="MAC C Swiss"/>
          <w:sz w:val="24"/>
          <w:szCs w:val="24"/>
          <w:lang w:val="en-US"/>
        </w:rPr>
      </w:pPr>
      <w:r>
        <w:rPr>
          <w:rFonts w:ascii="Arial" w:hAnsi="Arial" w:cs="Arial"/>
          <w:sz w:val="24"/>
          <w:szCs w:val="24"/>
          <w:lang w:val="en-US"/>
        </w:rPr>
        <w:t>на  пратеничко</w:t>
      </w:r>
      <w:r>
        <w:rPr>
          <w:rFonts w:ascii="MAC C Swiss" w:hAnsi="MAC C Swiss"/>
          <w:sz w:val="24"/>
          <w:szCs w:val="24"/>
          <w:lang w:val="en-US"/>
        </w:rPr>
        <w:t xml:space="preserve"> </w:t>
      </w:r>
      <w:r>
        <w:rPr>
          <w:rFonts w:ascii="Arial" w:hAnsi="Arial" w:cs="Arial"/>
          <w:sz w:val="24"/>
          <w:szCs w:val="24"/>
          <w:lang w:val="en-US"/>
        </w:rPr>
        <w:t>прашање</w:t>
      </w:r>
      <w:r>
        <w:rPr>
          <w:rFonts w:ascii="MAC C Swiss" w:hAnsi="MAC C Swiss"/>
          <w:sz w:val="24"/>
          <w:szCs w:val="24"/>
          <w:lang w:val="en-US"/>
        </w:rPr>
        <w:t xml:space="preserve"> </w:t>
      </w:r>
      <w:r>
        <w:rPr>
          <w:rFonts w:ascii="Arial" w:hAnsi="Arial" w:cs="Arial"/>
          <w:sz w:val="24"/>
          <w:szCs w:val="24"/>
          <w:lang w:val="en-US"/>
        </w:rPr>
        <w:t>од</w:t>
      </w:r>
      <w:r>
        <w:rPr>
          <w:rFonts w:ascii="MAC C Swiss" w:hAnsi="MAC C Swiss"/>
          <w:sz w:val="24"/>
          <w:szCs w:val="24"/>
          <w:lang w:val="en-US"/>
        </w:rPr>
        <w:t xml:space="preserve"> </w:t>
      </w:r>
      <w:r>
        <w:rPr>
          <w:rFonts w:ascii="Arial" w:hAnsi="Arial" w:cs="Arial"/>
          <w:sz w:val="24"/>
          <w:szCs w:val="24"/>
          <w:lang w:val="en-US"/>
        </w:rPr>
        <w:t>пратеникот</w:t>
      </w:r>
      <w:r>
        <w:rPr>
          <w:rFonts w:ascii="MAC C Swiss" w:hAnsi="MAC C Swiss"/>
          <w:sz w:val="24"/>
          <w:szCs w:val="24"/>
          <w:lang w:val="en-US"/>
        </w:rPr>
        <w:t xml:space="preserve"> </w:t>
      </w:r>
      <w:r>
        <w:rPr>
          <w:rFonts w:ascii="Arial" w:hAnsi="Arial" w:cs="Arial"/>
          <w:sz w:val="24"/>
          <w:szCs w:val="24"/>
        </w:rPr>
        <w:t>Флора Кадриу</w:t>
      </w:r>
      <w:r>
        <w:rPr>
          <w:rFonts w:ascii="MAC C Swiss" w:hAnsi="MAC C Swiss"/>
          <w:sz w:val="24"/>
          <w:szCs w:val="24"/>
          <w:lang w:val="en-US"/>
        </w:rPr>
        <w:t xml:space="preserve"> </w:t>
      </w:r>
      <w:r>
        <w:rPr>
          <w:rFonts w:ascii="Arial" w:hAnsi="Arial" w:cs="Arial"/>
          <w:sz w:val="24"/>
          <w:szCs w:val="24"/>
          <w:lang w:val="en-US"/>
        </w:rPr>
        <w:t>поставено</w:t>
      </w:r>
      <w:r>
        <w:rPr>
          <w:rFonts w:ascii="MAC C Swiss" w:hAnsi="MAC C Swiss"/>
          <w:sz w:val="24"/>
          <w:szCs w:val="24"/>
          <w:lang w:val="en-US"/>
        </w:rPr>
        <w:t xml:space="preserve"> </w:t>
      </w:r>
      <w:r>
        <w:rPr>
          <w:rFonts w:ascii="Arial" w:hAnsi="Arial" w:cs="Arial"/>
          <w:sz w:val="24"/>
          <w:szCs w:val="24"/>
          <w:lang w:val="en-US"/>
        </w:rPr>
        <w:t>на</w:t>
      </w:r>
      <w:r>
        <w:rPr>
          <w:rFonts w:ascii="MAC C Swiss" w:hAnsi="MAC C Swiss"/>
          <w:sz w:val="24"/>
          <w:szCs w:val="24"/>
          <w:lang w:val="en-US"/>
        </w:rPr>
        <w:t xml:space="preserve"> </w:t>
      </w:r>
      <w:r>
        <w:rPr>
          <w:rFonts w:ascii="Arial" w:hAnsi="Arial" w:cs="Arial"/>
          <w:sz w:val="24"/>
          <w:szCs w:val="24"/>
        </w:rPr>
        <w:t>77</w:t>
      </w:r>
      <w:r>
        <w:rPr>
          <w:rFonts w:ascii="MAC C Swiss" w:hAnsi="MAC C Swiss"/>
          <w:sz w:val="24"/>
          <w:szCs w:val="24"/>
          <w:lang w:val="en-US"/>
        </w:rPr>
        <w:t>-</w:t>
      </w:r>
      <w:r>
        <w:rPr>
          <w:rFonts w:ascii="Arial" w:hAnsi="Arial" w:cs="Arial"/>
          <w:sz w:val="24"/>
          <w:szCs w:val="24"/>
          <w:lang w:val="en-US"/>
        </w:rPr>
        <w:t>та</w:t>
      </w:r>
      <w:r>
        <w:rPr>
          <w:rFonts w:ascii="MAC C Swiss" w:hAnsi="MAC C Swiss"/>
          <w:sz w:val="24"/>
          <w:szCs w:val="24"/>
          <w:lang w:val="en-US"/>
        </w:rPr>
        <w:t xml:space="preserve"> </w:t>
      </w:r>
      <w:r>
        <w:rPr>
          <w:rFonts w:ascii="Arial" w:hAnsi="Arial" w:cs="Arial"/>
          <w:sz w:val="24"/>
          <w:szCs w:val="24"/>
          <w:lang w:val="en-US"/>
        </w:rPr>
        <w:t>седница</w:t>
      </w:r>
      <w:r>
        <w:rPr>
          <w:rFonts w:ascii="MAC C Swiss" w:hAnsi="MAC C Swiss"/>
          <w:sz w:val="24"/>
          <w:szCs w:val="24"/>
          <w:lang w:val="en-US"/>
        </w:rPr>
        <w:t xml:space="preserve"> </w:t>
      </w:r>
      <w:r>
        <w:rPr>
          <w:rFonts w:ascii="Arial" w:hAnsi="Arial" w:cs="Arial"/>
          <w:sz w:val="24"/>
          <w:szCs w:val="24"/>
          <w:lang w:val="en-US"/>
        </w:rPr>
        <w:t>на</w:t>
      </w:r>
      <w:r>
        <w:rPr>
          <w:rFonts w:ascii="MAC C Swiss" w:hAnsi="MAC C Swiss"/>
          <w:sz w:val="24"/>
          <w:szCs w:val="24"/>
          <w:lang w:val="en-US"/>
        </w:rPr>
        <w:t xml:space="preserve"> </w:t>
      </w:r>
      <w:r>
        <w:rPr>
          <w:rFonts w:ascii="Arial" w:hAnsi="Arial" w:cs="Arial"/>
          <w:sz w:val="24"/>
          <w:szCs w:val="24"/>
          <w:lang w:val="en-US"/>
        </w:rPr>
        <w:t>Собранието</w:t>
      </w:r>
      <w:r>
        <w:rPr>
          <w:rFonts w:ascii="MAC C Swiss" w:hAnsi="MAC C Swiss"/>
          <w:sz w:val="24"/>
          <w:szCs w:val="24"/>
          <w:lang w:val="en-US"/>
        </w:rPr>
        <w:t xml:space="preserve"> </w:t>
      </w:r>
      <w:r>
        <w:rPr>
          <w:rFonts w:ascii="Arial" w:hAnsi="Arial" w:cs="Arial"/>
          <w:sz w:val="24"/>
          <w:szCs w:val="24"/>
          <w:lang w:val="en-US"/>
        </w:rPr>
        <w:t>на</w:t>
      </w:r>
      <w:r>
        <w:rPr>
          <w:rFonts w:ascii="MAC C Swiss" w:hAnsi="MAC C Swiss"/>
          <w:sz w:val="24"/>
          <w:szCs w:val="24"/>
          <w:lang w:val="en-US"/>
        </w:rPr>
        <w:t xml:space="preserve"> </w:t>
      </w:r>
      <w:r>
        <w:rPr>
          <w:rFonts w:ascii="Arial" w:hAnsi="Arial" w:cs="Arial"/>
          <w:sz w:val="24"/>
          <w:szCs w:val="24"/>
          <w:lang w:val="en-US"/>
        </w:rPr>
        <w:t>Република</w:t>
      </w:r>
      <w:r>
        <w:rPr>
          <w:rFonts w:ascii="MAC C Swiss" w:hAnsi="MAC C Swiss"/>
          <w:sz w:val="24"/>
          <w:szCs w:val="24"/>
          <w:lang w:val="en-US"/>
        </w:rPr>
        <w:t xml:space="preserve"> </w:t>
      </w:r>
      <w:r>
        <w:rPr>
          <w:rFonts w:ascii="Arial" w:hAnsi="Arial" w:cs="Arial"/>
          <w:sz w:val="24"/>
          <w:szCs w:val="24"/>
          <w:lang w:val="en-US"/>
        </w:rPr>
        <w:t>Македонија</w:t>
      </w:r>
      <w:r>
        <w:rPr>
          <w:rFonts w:ascii="MAC C Swiss" w:hAnsi="MAC C Swiss"/>
          <w:sz w:val="24"/>
          <w:szCs w:val="24"/>
          <w:lang w:val="en-US"/>
        </w:rPr>
        <w:t xml:space="preserve"> </w:t>
      </w:r>
    </w:p>
    <w:p w:rsidR="001555D7" w:rsidRDefault="001555D7" w:rsidP="001555D7">
      <w:pPr>
        <w:jc w:val="center"/>
        <w:rPr>
          <w:rFonts w:ascii="Arial" w:hAnsi="Arial" w:cs="Arial"/>
          <w:sz w:val="24"/>
          <w:szCs w:val="24"/>
        </w:rPr>
      </w:pPr>
      <w:r>
        <w:rPr>
          <w:rFonts w:ascii="Arial" w:hAnsi="Arial" w:cs="Arial"/>
          <w:sz w:val="24"/>
          <w:szCs w:val="24"/>
          <w:lang w:val="en-US"/>
        </w:rPr>
        <w:t>одржана</w:t>
      </w:r>
      <w:r>
        <w:rPr>
          <w:rFonts w:ascii="MAC C Swiss" w:hAnsi="MAC C Swiss"/>
          <w:sz w:val="24"/>
          <w:szCs w:val="24"/>
          <w:lang w:val="en-US"/>
        </w:rPr>
        <w:t xml:space="preserve"> </w:t>
      </w:r>
      <w:r>
        <w:rPr>
          <w:rFonts w:ascii="Arial" w:hAnsi="Arial" w:cs="Arial"/>
          <w:sz w:val="24"/>
          <w:szCs w:val="24"/>
          <w:lang w:val="en-US"/>
        </w:rPr>
        <w:t>на</w:t>
      </w:r>
      <w:r>
        <w:rPr>
          <w:rFonts w:ascii="MAC C Swiss" w:hAnsi="MAC C Swiss"/>
          <w:sz w:val="24"/>
          <w:szCs w:val="24"/>
          <w:lang w:val="en-US"/>
        </w:rPr>
        <w:t xml:space="preserve"> </w:t>
      </w:r>
      <w:r>
        <w:rPr>
          <w:rFonts w:ascii="Arial" w:hAnsi="Arial" w:cs="Arial"/>
          <w:sz w:val="24"/>
          <w:szCs w:val="24"/>
        </w:rPr>
        <w:t>5</w:t>
      </w:r>
      <w:r>
        <w:rPr>
          <w:rFonts w:ascii="MAC C Swiss" w:hAnsi="MAC C Swiss"/>
          <w:sz w:val="24"/>
          <w:szCs w:val="24"/>
          <w:lang w:val="en-US"/>
        </w:rPr>
        <w:t xml:space="preserve"> </w:t>
      </w:r>
      <w:r>
        <w:rPr>
          <w:rFonts w:ascii="Arial" w:hAnsi="Arial" w:cs="Arial"/>
          <w:sz w:val="24"/>
          <w:szCs w:val="24"/>
        </w:rPr>
        <w:t>ноември</w:t>
      </w:r>
      <w:r>
        <w:rPr>
          <w:rFonts w:ascii="MAC C Swiss" w:hAnsi="MAC C Swiss"/>
          <w:sz w:val="24"/>
          <w:szCs w:val="24"/>
          <w:lang w:val="en-US"/>
        </w:rPr>
        <w:t xml:space="preserve"> 2009 </w:t>
      </w:r>
      <w:r>
        <w:rPr>
          <w:rFonts w:ascii="Arial" w:hAnsi="Arial" w:cs="Arial"/>
          <w:sz w:val="24"/>
          <w:szCs w:val="24"/>
          <w:lang w:val="en-US"/>
        </w:rPr>
        <w:t>година</w:t>
      </w:r>
    </w:p>
    <w:p w:rsidR="00C43425" w:rsidRDefault="00C43425"/>
    <w:p w:rsidR="001555D7" w:rsidRDefault="001555D7" w:rsidP="001555D7">
      <w:pPr>
        <w:jc w:val="both"/>
        <w:rPr>
          <w:rFonts w:ascii="Arial" w:hAnsi="Arial" w:cs="Arial"/>
          <w:sz w:val="24"/>
        </w:rPr>
      </w:pPr>
      <w:r>
        <w:tab/>
      </w:r>
      <w:r w:rsidRPr="001555D7">
        <w:rPr>
          <w:rFonts w:ascii="Arial" w:hAnsi="Arial" w:cs="Arial"/>
          <w:sz w:val="24"/>
        </w:rPr>
        <w:t>Спроведувањето на реформите</w:t>
      </w:r>
      <w:r>
        <w:rPr>
          <w:rFonts w:ascii="Arial" w:hAnsi="Arial" w:cs="Arial"/>
          <w:sz w:val="24"/>
        </w:rPr>
        <w:t xml:space="preserve"> во локалната самоуправа вклучувајќи го и процесот на децентрализација како една од темелните вредности на Уставниот поредок на Република Македонија претставува дел и на определбите за постигнување на кандидатскиот статус за членство во ЕУ (декември 2005) препораката на Европската Комисија за започнување на преговори за членство во ЕУ (октомври 2009) и определбата за членство во НАТО.</w:t>
      </w:r>
    </w:p>
    <w:p w:rsidR="001555D7" w:rsidRDefault="001555D7" w:rsidP="001555D7">
      <w:pPr>
        <w:jc w:val="both"/>
        <w:rPr>
          <w:rFonts w:ascii="Arial" w:hAnsi="Arial" w:cs="Arial"/>
          <w:sz w:val="24"/>
        </w:rPr>
      </w:pPr>
      <w:r>
        <w:rPr>
          <w:rFonts w:ascii="Arial" w:hAnsi="Arial" w:cs="Arial"/>
          <w:sz w:val="24"/>
        </w:rPr>
        <w:tab/>
        <w:t>Од тие причини овие комплексни реформи, меѓудругото, се редовно дел од Извештаите за напредокот постигнат од страна на Република Македонија во подготовките за членство во ЕУ, во деловите:2. Политички критериуми (дел 2.1. демократија и владеење на правото), 3. Економски критериуми (3.1. Постоење на функционална пазарна економија) и 4. Способност да се преземаат обврските од членството (4.22. Регионална политика и координација на структурните инструменти).</w:t>
      </w:r>
    </w:p>
    <w:p w:rsidR="001555D7" w:rsidRDefault="001555D7" w:rsidP="001555D7">
      <w:pPr>
        <w:jc w:val="both"/>
        <w:rPr>
          <w:rFonts w:ascii="Arial" w:hAnsi="Arial" w:cs="Arial"/>
          <w:sz w:val="24"/>
        </w:rPr>
      </w:pPr>
      <w:r>
        <w:rPr>
          <w:rFonts w:ascii="Arial" w:hAnsi="Arial" w:cs="Arial"/>
          <w:sz w:val="24"/>
        </w:rPr>
        <w:tab/>
        <w:t>Во сите досегашни Извештаи, вклучувајки го и оној за 2009 година констатиран е напредок во остварувањето на политичкиот, фискалниот и административниот аспект на процесот на децентрализација.</w:t>
      </w:r>
    </w:p>
    <w:p w:rsidR="001555D7" w:rsidRDefault="001555D7" w:rsidP="001555D7">
      <w:pPr>
        <w:jc w:val="both"/>
        <w:rPr>
          <w:rFonts w:ascii="Arial" w:hAnsi="Arial" w:cs="Arial"/>
          <w:sz w:val="24"/>
        </w:rPr>
      </w:pPr>
      <w:r>
        <w:rPr>
          <w:rFonts w:ascii="Arial" w:hAnsi="Arial" w:cs="Arial"/>
          <w:sz w:val="24"/>
        </w:rPr>
        <w:tab/>
        <w:t xml:space="preserve">Напредокот може да се констатира и во последниот Извештај за напредокот на Република Македонија на Европската Комисија за 2009 година. Така во </w:t>
      </w:r>
      <w:r w:rsidR="00CF21CC">
        <w:rPr>
          <w:rFonts w:ascii="Arial" w:hAnsi="Arial" w:cs="Arial"/>
          <w:sz w:val="24"/>
        </w:rPr>
        <w:t>“</w:t>
      </w:r>
      <w:r>
        <w:rPr>
          <w:rFonts w:ascii="Arial" w:hAnsi="Arial" w:cs="Arial"/>
          <w:sz w:val="24"/>
        </w:rPr>
        <w:t>Глава 2. Политички критериуми</w:t>
      </w:r>
      <w:r w:rsidR="00CF21CC">
        <w:rPr>
          <w:rFonts w:ascii="Arial" w:hAnsi="Arial" w:cs="Arial"/>
          <w:sz w:val="24"/>
        </w:rPr>
        <w:t>“ делот „2.1. Демократија и владеење на правото“ е констатирано дека спроведувањето на “децентрализацијата како главен принцип на Охридскиот рамковен договор продолжи особено во делот на трансфер на надлежностите. Во јуни 2009 година е донесен првиот Закон за меѓуопштинска соработка кој треба да им помогне на општините поефикасно да ги извршуваат прнесените надлежности. Подобрено е и собирањето на данокот на локално ниво. Општините добија повисок удел во приходите собрани од управувањето со државното земјиште. Направени се напори за зајакнување на капацитетите на општините во областа на спроведувањето на данокот на имот, раководењето со јавните финансии, управувањето со долгот и финансиската контрола. Формирани се единици за внатрешна ревизија во 38 општини и отворени се 36 општински сервисни центри за пружање на услуги на граѓаните. Подобрена е работата на општините во полето на образованието.</w:t>
      </w:r>
    </w:p>
    <w:p w:rsidR="00CF21CC" w:rsidRDefault="00CF21CC" w:rsidP="001555D7">
      <w:pPr>
        <w:jc w:val="both"/>
        <w:rPr>
          <w:rFonts w:ascii="Arial" w:hAnsi="Arial" w:cs="Arial"/>
          <w:sz w:val="24"/>
        </w:rPr>
      </w:pPr>
      <w:r>
        <w:rPr>
          <w:rFonts w:ascii="Arial" w:hAnsi="Arial" w:cs="Arial"/>
          <w:sz w:val="24"/>
        </w:rPr>
        <w:lastRenderedPageBreak/>
        <w:tab/>
        <w:t>Во “Глава 3. Економски критериуми“ делот “3.1. Постоење на функционална пазарна економија“ исто така е констатирано дека фискалната децентрализација продолжи и дека правната рамка за соработка и за ревизија се зајакнати. Поаѓајки од значењето и улогата на локланите власти, како основно политичко  ниво на власт во нашата земја, реформата на системот на локалната самоуправа и процесот</w:t>
      </w:r>
      <w:r w:rsidR="00AA2745">
        <w:rPr>
          <w:rFonts w:ascii="Arial" w:hAnsi="Arial" w:cs="Arial"/>
          <w:sz w:val="24"/>
        </w:rPr>
        <w:t xml:space="preserve"> на децентрализација и понатаму ќе продолжат да зазема високо место во приоритетите на Владата на Република Македонија.</w:t>
      </w:r>
    </w:p>
    <w:p w:rsidR="00AA2745" w:rsidRDefault="00AA2745" w:rsidP="001555D7">
      <w:pPr>
        <w:jc w:val="both"/>
        <w:rPr>
          <w:rFonts w:ascii="Arial" w:hAnsi="Arial" w:cs="Arial"/>
          <w:sz w:val="24"/>
        </w:rPr>
      </w:pPr>
      <w:r>
        <w:rPr>
          <w:rFonts w:ascii="Arial" w:hAnsi="Arial" w:cs="Arial"/>
          <w:sz w:val="24"/>
        </w:rPr>
        <w:tab/>
        <w:t>Во тој контекст Министерството за локлана самоуправа како орган на државната власт надлежен за имплементација на законите и политиките поврзани со развојот на системот за локална самоуправа е целосно посветен на успешното спроведување на оваа реформа. Врз основа на пргледот на постоечката состојба во наредниот период Министерството ќе биде концентрирано на следниве генерални предизвици кои заслужуваат натамошно внимание:</w:t>
      </w:r>
    </w:p>
    <w:p w:rsidR="00AA2745" w:rsidRDefault="00AA2745" w:rsidP="001555D7">
      <w:pPr>
        <w:jc w:val="both"/>
        <w:rPr>
          <w:rFonts w:ascii="Arial" w:hAnsi="Arial" w:cs="Arial"/>
          <w:sz w:val="24"/>
        </w:rPr>
      </w:pPr>
      <w:r>
        <w:rPr>
          <w:rFonts w:ascii="Arial" w:hAnsi="Arial" w:cs="Arial"/>
          <w:sz w:val="24"/>
        </w:rPr>
        <w:tab/>
        <w:t>1.Продолжување на ефикасна и ефективна децентрализација како базичен принцип на Охридскиот рамковен договор</w:t>
      </w:r>
    </w:p>
    <w:p w:rsidR="00AA2745" w:rsidRDefault="00AA2745" w:rsidP="001555D7">
      <w:pPr>
        <w:jc w:val="both"/>
        <w:rPr>
          <w:rFonts w:ascii="Arial" w:hAnsi="Arial" w:cs="Arial"/>
          <w:sz w:val="24"/>
        </w:rPr>
      </w:pPr>
      <w:r>
        <w:rPr>
          <w:rFonts w:ascii="Arial" w:hAnsi="Arial" w:cs="Arial"/>
          <w:sz w:val="24"/>
        </w:rPr>
        <w:tab/>
        <w:t>2. Влегување на сите преостанати општини во втора фаза на фискалната децентрализација</w:t>
      </w:r>
    </w:p>
    <w:p w:rsidR="00AA2745" w:rsidRDefault="00AA2745" w:rsidP="001555D7">
      <w:pPr>
        <w:jc w:val="both"/>
        <w:rPr>
          <w:rFonts w:ascii="Arial" w:hAnsi="Arial" w:cs="Arial"/>
          <w:sz w:val="24"/>
        </w:rPr>
      </w:pPr>
      <w:r>
        <w:rPr>
          <w:rFonts w:ascii="Arial" w:hAnsi="Arial" w:cs="Arial"/>
          <w:sz w:val="24"/>
        </w:rPr>
        <w:tab/>
        <w:t>3. Унапредување на нормативната рамка за финансирање на единиците на локланата самоуправа, со што ќе обезбедат доволни приходи за единиците на локалната самоуправа за оптимално спроведување на пренесените надлежности</w:t>
      </w:r>
    </w:p>
    <w:p w:rsidR="00AA2745" w:rsidRDefault="00AA2745" w:rsidP="001555D7">
      <w:pPr>
        <w:jc w:val="both"/>
        <w:rPr>
          <w:rFonts w:ascii="Arial" w:hAnsi="Arial" w:cs="Arial"/>
          <w:sz w:val="24"/>
        </w:rPr>
      </w:pPr>
      <w:r>
        <w:rPr>
          <w:rFonts w:ascii="Arial" w:hAnsi="Arial" w:cs="Arial"/>
          <w:sz w:val="24"/>
        </w:rPr>
        <w:tab/>
        <w:t>4. Продолжување со системското јакнење на капацитетите на единиците на локланата самоуправа за спроведување на пренесените надлежности</w:t>
      </w:r>
    </w:p>
    <w:p w:rsidR="00AA2745" w:rsidRDefault="00AA2745" w:rsidP="001555D7">
      <w:pPr>
        <w:jc w:val="both"/>
        <w:rPr>
          <w:rFonts w:ascii="Arial" w:hAnsi="Arial" w:cs="Arial"/>
          <w:sz w:val="24"/>
        </w:rPr>
      </w:pPr>
      <w:r>
        <w:rPr>
          <w:rFonts w:ascii="Arial" w:hAnsi="Arial" w:cs="Arial"/>
          <w:sz w:val="24"/>
        </w:rPr>
        <w:tab/>
        <w:t xml:space="preserve">5. Обезбедување на рамноправен регионален развој и намалување на постоечките диспаритетите помеѓу единиците на локалната самоуправа и </w:t>
      </w:r>
    </w:p>
    <w:p w:rsidR="00AA2745" w:rsidRPr="001555D7" w:rsidRDefault="00AA2745" w:rsidP="001555D7">
      <w:pPr>
        <w:jc w:val="both"/>
        <w:rPr>
          <w:rFonts w:ascii="Arial" w:hAnsi="Arial" w:cs="Arial"/>
          <w:sz w:val="24"/>
        </w:rPr>
      </w:pPr>
      <w:r>
        <w:rPr>
          <w:rFonts w:ascii="Arial" w:hAnsi="Arial" w:cs="Arial"/>
          <w:sz w:val="24"/>
        </w:rPr>
        <w:tab/>
        <w:t>6.</w:t>
      </w:r>
      <w:r w:rsidR="00A27795">
        <w:rPr>
          <w:rFonts w:ascii="Arial" w:hAnsi="Arial" w:cs="Arial"/>
          <w:sz w:val="24"/>
        </w:rPr>
        <w:t>Динамизирање  на локалниот развој</w:t>
      </w:r>
    </w:p>
    <w:sectPr w:rsidR="00AA2745" w:rsidRPr="001555D7"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55D7"/>
    <w:rsid w:val="000B2200"/>
    <w:rsid w:val="001555D7"/>
    <w:rsid w:val="004050A7"/>
    <w:rsid w:val="006A3D52"/>
    <w:rsid w:val="007C55DF"/>
    <w:rsid w:val="00A27795"/>
    <w:rsid w:val="00AA2745"/>
    <w:rsid w:val="00BA70BC"/>
    <w:rsid w:val="00C43425"/>
    <w:rsid w:val="00CF21CC"/>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88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2009-12-28T07:08:00Z</dcterms:created>
  <dcterms:modified xsi:type="dcterms:W3CDTF">2009-12-28T07:41:00Z</dcterms:modified>
</cp:coreProperties>
</file>